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Бизнес-новости</w:t>
                        </w:r>
                        <w:bookmarkStart w:id="0" w:name="_GoBack"/>
                        <w:bookmarkEnd w:id="0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Правительство расширило возможность использования льготных кредитов для импортеров.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noProof/>
                            <w:color w:val="000000"/>
                            <w:sz w:val="21"/>
                            <w:szCs w:val="21"/>
                            <w:bdr w:val="single" w:sz="8" w:space="0" w:color="auto" w:frame="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Теперь можно взять льготный кредит, </w:t>
                        </w:r>
                        <w:proofErr w:type="gramStart"/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например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 на оплату проектировочных и пусконаладочных работ Председатель правительства подписал постановление о новых направлениях использования льготного кредита. Теперь в список входят импортные контракты на проектировочные, транспортные или пусконаладочные работы. Также можно получить льготный кредит на уплату НДС и таможенных пошлин по импортному контракту. </w:t>
                        </w:r>
                        <w:r>
                          <w:rPr>
                            <w:rFonts w:ascii="Georgia" w:eastAsia="Times New Roman" w:hAnsi="Georgia"/>
                            <w:color w:val="003366"/>
                          </w:rPr>
                          <w:br/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Срок льготного кредита зависит от его целей: 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для закупки сырья и комплектующих — один год;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для всего остального — три года.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Напомним, что в перечне приоритетной импортной продукции, например, строительные материалы, станки, сельскохозяйственные машины, электроника.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F14"/>
                          </w:rPr>
                          <w:t>Что это значит для бизнеса.</w:t>
                        </w:r>
                        <w:r>
                          <w:rPr>
                            <w:rFonts w:ascii="Georgia" w:hAnsi="Georgia"/>
                            <w:color w:val="1A1F14"/>
                          </w:rPr>
                          <w:t> Льготные кредиты помогут компаниям и предпринимателям наладить работу в условиях санкций.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 xml:space="preserve">Для мобилизованных предпринимателей утвердили особые условия исполнения контрактов по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госзакупкам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 Сроки, цена, виды и объемы работ по контрактам для обеспечения федеральных нужд могут быть изменены, если поставщиками по ним являются компании, сотрудники которых призваны на службу в рамках частичной мобилизации. Решение коснется и индивидуальных предпринимателей. 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Нововведение относится ко всем контрактам, которые будут заключены до конца 2023 года.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Исполнителям будут списаны неустойки, возникшие из-за того, что компания или ИП не может своевременно выполнить контракт из-за мобилизации. Представители такого бизнеса не будут включены в реестр недобросовестных поставщиков.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Правительство изменило ряд обязательных требований для компаний с мобилизованными сотрудниками.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Компании, имеющие лицензии на определенные виды деятельности, смогут продолжить свою деятельность с минимальной численностью сотрудников. Это касается организаций, сотрудники которых были мобилизованы. </w:t>
                        </w:r>
                      </w:p>
                      <w:p w:rsidR="00F45AC1" w:rsidRDefault="00F45AC1">
                        <w:pPr>
                          <w:pStyle w:val="3"/>
                          <w:spacing w:after="360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lastRenderedPageBreak/>
                          <w:t>Предприятиям будет предоставлен срок от 3 до 6 месяцев для поиска новых квалифицированных работников вместо мобилизованных.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За призванным на службу сотрудником сохранится его рабочее место – трудовое соглашение с ним приостанавливается, но не разрывается. С новым сотрудником будет заключен срочный трудовой договор. 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 xml:space="preserve">Сроки действия аттестаций и других разрешений мобилизованных граждан будут продлены в автоматическом режиме, без проведения оценки их знаний и умений. 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Решение позволит предотвратить разрыв производственных процессов и затронет 48 сфер деятельности, среди которых перевозки, гидрометеорология, образование, туризм и другие.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В России временно смягчили требования по маркировке молочной продукции.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Можно продавать молочку сразу, как только она поступила в магазин или на склад, а не ждать передачи сведений в Честный знак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Правительство временно смягчило требования по маркировке молочной продукции.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Теперь продавать молочную продукцию можно сразу, как только она поступила на склад производителя, оптовый склад или в магазин — не дожидаясь сверки сведений с Честным знаком. На отправку таких сведений в систему маркировки участникам оборота дается три рабочих дня.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Новые правила действуют до 31 мая 2025 года включительно.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Кроме того, сократился перечень сведений, которые должны передавать в Честный знак киоски мороженого.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Теперь это: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ИНН продавца;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код маркировки или коды идентификации потребительских упаковок, групповых упаковок или наборов товаров;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способ вывода товаров из оборота — розничная продажа;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дата реализации;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цена продажи с учетом НДС;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наименование, номер и дата документа, подтверждающего факт продажи, если он есть.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Из первоначального списка убрали: регистрационный номер ККТ, заводской номер фискального накопителя, применяемую при расчете систему налогообложения. Причина в том, что многие киоски имеют право торговать без онлайн-касс и у них просто нет соответствующих номеров.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F14"/>
                          </w:rPr>
                          <w:t>Что это значит для бизнеса.</w:t>
                        </w:r>
                        <w:r>
                          <w:rPr>
                            <w:rFonts w:ascii="Georgia" w:hAnsi="Georgia"/>
                            <w:color w:val="1A1F14"/>
                          </w:rPr>
                          <w:t xml:space="preserve"> Производители, оптовики и розничные магазины смогут продавать молочную продукцию сразу, как только она к ним </w:t>
                        </w:r>
                        <w:r>
                          <w:rPr>
                            <w:rFonts w:ascii="Georgia" w:hAnsi="Georgia"/>
                            <w:color w:val="1A1F14"/>
                          </w:rPr>
                          <w:lastRenderedPageBreak/>
                          <w:t>поступит, а не ждать передачи сведений в систему «Честный знак». Ожидается, что это сократит время оборачиваемости товара.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F14"/>
                          </w:rPr>
                        </w:pPr>
                        <w:r>
                          <w:rPr>
                            <w:rFonts w:ascii="Georgia" w:hAnsi="Georgia"/>
                            <w:color w:val="1A1F14"/>
                          </w:rPr>
                          <w:t>Проще станет работать киоскам мороженого. Они будут передавать в Честный знак только сведения о продажах мороженого, без данных о контрольно-кассовой технике.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Предприниматели смогут запускать рекламу через платформу МСП.РФ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Корпорация МСП сообщила, что на платформе МСП.РФ появилась возможность запускать рекламу. Сделать это можно с помощью сервиса – «Автоматический запуск рекламы с Яндекс Бизнесом».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В организации пояснили, что не создают свой сервис продвижения, так как не собираются конкурировать с игроками на рынке. Цель стоит другая – собрать на платформе все необходимые сервисы, чтобы бизнесмены могли в одном месте получить коммерческие продукты и меры поддержки.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F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F14"/>
                            <w:sz w:val="21"/>
                            <w:szCs w:val="21"/>
                          </w:rPr>
                          <w:t>Чтобы запустить рекламу, надо рассказать о бренде, загрузить фото, указать сайт и адрес фирмы в личном кабинете. Система определит целевую аудиторию, предложит варианты объявлений и протестирует их на разных ресурсах.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020D1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3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020D1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4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 xml:space="preserve">Новости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pict>
                      <v:rect id="_x0000_i1025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Изменения в законодательстве: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Автоматизированная УСН: налогоплательщик может получить справки в личном кабинете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Организация или ИП, которые перешли на автоматизированную УСН, могут в личном кабинете сформировать справки: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о применении этого режима;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состоянии расчетов (доходах) по налогу на АУСН.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Документы помогают подтвердить применение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спецрежима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 и получить информацию о полученных доходах.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Из-за частичной мобилизации временно сняли требование к числу работников ряда организаций.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Компании, которые работают по лицензиям на определенные виды деятельности и специалистов которых призвали по частичной мобилизации, могут продолжать работу с </w:t>
                        </w: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lastRenderedPageBreak/>
                          <w:t>минимальной численностью сотрудников. Такие организации не станут штрафовать. При этом им нужно в срок от 3 до 6 месяцев найти новых квалифицированных работников, чтобы обеспечить соответствие требованиям.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Кроме того, до 31 декабря 2023 года продлили срок действия результатов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спецоценки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 условий труда, истекающий в 2022 году. Меру приняли в отношении рабочих мест с оптимальными и допустимыми классами условий труда, на которые не подавали декларации.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Особенности применения автоматизированной УСН с 1 июля 2022 г. по 31 декабря 2027 г. включительно.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Автоматизированная УСН (АУСН) установлена на период с 1 июля 2022 г. по 31 декабря 2027 г. включительно в Москве, Московской, Калужской областях и Татарстане.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С 1 июля 2022 г. этот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спецрежим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 доступен только для вновь созданных и вновь зарегистрированных организаций и ИП. 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Уже существующие организации и ИП могут им воспользоваться не </w:t>
                        </w:r>
                        <w:proofErr w:type="gramStart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раньше чем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 с 1 января 2023 г.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Переход на АУСН является добровольным. Чтобы использовать АУСН, российская организация (ИП) должна состоять на учете по месту нахождения (жительства) в одном из перечисленных регионов и соответствовать ряду условий. В частности, средняя численность работников должна быть не больше пяти человек в месяц, а доходы - не больше 60 млн руб. в год. Есть ограничения по видам деятельности и совершаемым операциям.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 xml:space="preserve">При использовании АУСН налогоплательщики освобождаются от сдачи многих форм отчетности. Не надо уплачивать взносы на ОПС, ОМС, по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ВНиМ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. Взносы на травматизм имеют фиксированный размер.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20241C"/>
                          </w:rPr>
                        </w:pPr>
                        <w:r>
                          <w:rPr>
                            <w:rFonts w:ascii="Georgia" w:hAnsi="Georgia"/>
                            <w:color w:val="20241C"/>
                          </w:rPr>
                          <w:t>В зависимости от выбранного объекта налогообложения ставка налога на АУСН составляет 8% (при объекте "доходы") или 20% (при объекте "доходы минус расходы"). Налог исчисляет инспекция. Сумму и реквизиты для перечисления она сообщает налогоплательщику через его личный кабинет.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НДС при ввозе из стран ЕАЭС нужно будет перечислять в составе единого налогового платежа.</w:t>
                        </w:r>
                      </w:p>
                      <w:p w:rsidR="00F45AC1" w:rsidRDefault="00F45AC1">
                        <w:pPr>
                          <w:pStyle w:val="4"/>
                          <w:spacing w:after="300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0241C"/>
                            <w:sz w:val="21"/>
                            <w:szCs w:val="21"/>
                          </w:rPr>
                          <w:t>С 1 января 2023 года организации и ИП должны перечислять налоги и взносы единым налоговым платежом. ФНС разъяснила: НДС за товары, которые ввозят в Россию из стран ЕАЭС, платят в общем порядке. Значит, нужно будет перечислить его в виде ЕНП не позднее 20-го числа месяца, следующего за месяцем принятия на учет товаров или срока платежа</w:t>
                        </w:r>
                        <w:r>
                          <w:rPr>
                            <w:rFonts w:ascii="Georgia" w:eastAsia="Times New Roman" w:hAnsi="Georgia"/>
                            <w:color w:val="20241C"/>
                          </w:rPr>
                          <w:t>.</w:t>
                        </w:r>
                      </w:p>
                      <w:p w:rsidR="00F45AC1" w:rsidRDefault="00F45AC1">
                        <w:pPr>
                          <w:pStyle w:val="3"/>
                          <w:spacing w:after="360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</w:p>
                      <w:p w:rsidR="00F45AC1" w:rsidRDefault="00F45AC1">
                        <w:pPr>
                          <w:pStyle w:val="4"/>
                          <w:jc w:val="center"/>
                          <w:rPr>
                            <w:rFonts w:ascii="Georgia" w:eastAsia="Times New Roman" w:hAnsi="Georgia"/>
                            <w:color w:val="20241C"/>
                          </w:rPr>
                        </w:pP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Cправки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 xml:space="preserve"> по телефону: +7 (383) 284-45-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05 ,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 xml:space="preserve"> 284-45-92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rPr>
                      <w:trHeight w:val="560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0C2F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3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0C2F3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 xml:space="preserve">Новости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26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E1EA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E1EAED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2C33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Меры поддержки для предпринимателей: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Минпромторг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 xml:space="preserve"> России запускает первый конкурсный отбор заявок кредитных организаций на участие в «промышленной ипотеке».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Прием заявок с 3 октября по 1 ноября 2022 года.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Механизм «промышленной ипотеки» предполагает субсидирование кредитных организаций для предоставления промышленным предприятиям льготных кредитов на покупку производственной недвижимости. Правила предоставления данной субсидии утверждены постановлением № 1570.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>«Промышленная ипотека» дает возможность промышленным предприятиям получить банковские кредиты на сумму до 500 млн рублей по льготной процентной ставке: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>3% годовых для технологических компаний; </w:t>
                        </w: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br/>
                          <w:t>5% годовых – для иных промышленных предприятий.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>Максимальный срок предоставления кредита составляет до 7 лет.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>Адрес приема заявок: 125039, г. Москва, Пресненская набережная, д. 10, стр. 2, экспедиция.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2444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 xml:space="preserve">С дополнительными вопросами по подготовке и порядку приема заявок на участие в конкурсном отборе можно обратиться в отдел проектов территориального развития и промышленной инфраструктуры Департамента региональной промышленной политики и проектного управления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>Минпромторга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2444F"/>
                            <w:sz w:val="21"/>
                            <w:szCs w:val="21"/>
                          </w:rPr>
                          <w:t xml:space="preserve"> России. </w:t>
                        </w:r>
                      </w:p>
                      <w:p w:rsidR="00F45AC1" w:rsidRDefault="00F45AC1">
                        <w:pPr>
                          <w:pStyle w:val="a5"/>
                          <w:jc w:val="center"/>
                          <w:rPr>
                            <w:rFonts w:ascii="Georgia" w:hAnsi="Georgia"/>
                            <w:color w:val="22444F"/>
                          </w:rPr>
                        </w:pP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Cправки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телефону:   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8 (495) 547-88-88, доб. 28-592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22444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 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34424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5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34424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5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27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lastRenderedPageBreak/>
                          <w:t xml:space="preserve">Департамент земельных и имущественных отношений мэрии города Новосибирска извещает о проведении аукциона на право заключения договоров аренды имущества, 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включенного в перечень имущества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 xml:space="preserve"> находящегося в муниципальной собственности города Новосибирска.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Дата проведения аукциона «03» ноября 2022 с 10-00 (по новосибирскому времени).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Дата окончания приема заявок: «01»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ноября  2022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года 09 час. 00 мин. (по новосибирскому времени).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Место нахождения организатора аукциона, почтовый адрес: 630091, г. Новосибирск, Красный проспект, 50.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E1F"/>
                            <w:sz w:val="20"/>
                            <w:szCs w:val="20"/>
                          </w:rPr>
                          <w:t xml:space="preserve">Место проведения аукциона – Аукцион проводится оператором аукциона ООО «РТС - тендер» в электронной форме на федеральной электронной торговой площадке РТС-Тендер на сайте </w:t>
                        </w:r>
                        <w:hyperlink r:id="rId7" w:tgtFrame="_blank" w:history="1">
                          <w:r>
                            <w:rPr>
                              <w:rStyle w:val="a3"/>
                              <w:rFonts w:ascii="Georgia" w:eastAsia="Times New Roman" w:hAnsi="Georgia"/>
                              <w:color w:val="093547"/>
                              <w:sz w:val="20"/>
                              <w:szCs w:val="20"/>
                            </w:rPr>
                            <w:t>www.rts-tender.ru</w:t>
                          </w:r>
                        </w:hyperlink>
                        <w:r>
                          <w:rPr>
                            <w:rFonts w:ascii="Georgia" w:eastAsia="Times New Roman" w:hAnsi="Georgia"/>
                            <w:color w:val="1A1E1F"/>
                            <w:sz w:val="20"/>
                            <w:szCs w:val="20"/>
                          </w:rPr>
                          <w:t>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E1F"/>
                            <w:sz w:val="21"/>
                            <w:szCs w:val="21"/>
                          </w:rPr>
                          <w:t>При заключении договора аренды имущества, включенного в перечень, на срок пять лет арендная плата вносится арендатором: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в первый год аренды - 40 процентов от размера арендной платы, установленного в договоре </w:t>
                        </w:r>
                        <w:proofErr w:type="gramStart"/>
                        <w:r>
                          <w:rPr>
                            <w:rFonts w:ascii="Georgia" w:hAnsi="Georgia"/>
                            <w:color w:val="1A1E1F"/>
                          </w:rPr>
                          <w:t>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  <w:t>во</w:t>
                        </w:r>
                        <w:proofErr w:type="gramEnd"/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второй год аренды - 60 процентов от размера арендной платы, установленного в договоре 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  <w:t>в третий год аренды - 80 процентов от размера арендной платы, установленного в договоре 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  <w:t>в четвертый год аренды и далее - 100 процентов от размера арендной платы, установленного в договоре аренды.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color w:val="1A1E1F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На аукцион выставляются следующие нежилые помещения: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1.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Нежилое помещение общей площадью 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72,40 кв. м.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,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расположенное на 1-м этаже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 г. Новосибирск, Дзержинский район, ул. Ползунова, 33.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2.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 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49,90 кв. м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., расположенное на 1-м этаже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 г. Новосибирск, Ленинский район, ул. Титова, 13.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3.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 Нежилое помещение общей площадью 112,20 кв. м., расположенное на 1-м этаже жилого дома по адресу: 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г. Новосибирск, Первомайский район, ул. Маяковского, 2а.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lastRenderedPageBreak/>
                          <w:t>Лот 4.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Нежилое помещение общей площадью 165,10 кв. м., расположенное в цокольном этаже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 г. Новосибирск, Октябрьский район, ул. Никитина, 62.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5.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212,90 кв. м.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, расположенное в подвале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 г. Новосибирск, Железнодорожный район,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Владимировский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спуск, 9.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6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. 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140,10 кв. м.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, расположенное в подвале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 г. Новосибирск, Ленинский район, ул. Новогодняя, 11.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7.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 Нежилое помещение общей площадью 40,40 кв. м., расположенное в подвале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 г. Новосибирск, Железнодорожный район, ул. Максима Горького, 42.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8.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Нежилое помещение общей площадью 122,20 кв. м., расположенное в подвале жилого дома по адресу: 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г. Новосибирск, Кировский район, ул. Громова, 7.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9.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 Нежилое помещение общей площадью 60,00 кв. м., расположенное в подвале жилого дома по адресу: 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г. Новосибирск, Центральный район, ул.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Потанинская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, 1.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10.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 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14,80 кв. 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на 1-м этаже отдельно стоящего здания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 г. Новосибирск, Калининский район, ул. Народная, 69.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1A1E1F"/>
                          </w:rPr>
                          <w:t>Осмотр имущества обеспечивает МУП «ЦМИ». По вопросам осмотра помещения обращаться в МУП «ЦМИ» по телефонам: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003300"/>
                          </w:rPr>
                          <w:t xml:space="preserve"> 223-89-09, 222-91-55, 203-57-84. </w:t>
                        </w:r>
                        <w:r>
                          <w:rPr>
                            <w:rFonts w:ascii="Georgia" w:hAnsi="Georgia"/>
                            <w:color w:val="003300"/>
                          </w:rPr>
                          <w:t>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1A1E1F"/>
                          </w:rPr>
                          <w:t>Извещение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hyperlink r:id="rId8" w:tgtFrame="_blank" w:history="1">
                          <w:r>
                            <w:rPr>
                              <w:rStyle w:val="a3"/>
                              <w:rFonts w:ascii="Georgia" w:hAnsi="Georgia"/>
                              <w:i/>
                              <w:iCs/>
                              <w:color w:val="093547"/>
                            </w:rPr>
                            <w:t xml:space="preserve">www.torgi.gov.ru Извещение </w:t>
                          </w:r>
                        </w:hyperlink>
                        <w:r>
                          <w:rPr>
                            <w:rFonts w:ascii="Georgia" w:hAnsi="Georgia"/>
                            <w:color w:val="1A1E1F"/>
                          </w:rPr>
                          <w:t>№21000008240000000062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D29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0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D29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www.torgi.gov.ru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28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 xml:space="preserve">Департамент земельных и имущественных отношений мэрии города Новосибирска извещает о проведении аукциона на право заключения договоров аренды имущества, 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lastRenderedPageBreak/>
                          <w:t>включенного в перечень имущества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 xml:space="preserve"> находящегося в муниципальной собственности города Новосибирска.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80975" cy="180975"/>
                              <wp:effectExtent l="0" t="0" r="9525" b="9525"/>
                              <wp:docPr id="74" name="Рисунок 74" descr="Рисунок удален отправителем. 📥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9" descr="Рисунок удален отправителем. 📥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Дата проведения аукциона «10» ноября 2022 с 10-00 (по новосибирскому времени).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73" name="Рисунок 73" descr="Рисунок удален отправителем. 📥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0" descr="Рисунок удален отправителем. 📥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Дата окончания приема заявок: «08»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ноября  2022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года 09 час. 00 мин. (по новосибирскому времени).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72" name="Рисунок 72" descr="Рисунок удален отправителем. 📍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1" descr="Рисунок удален отправителем. 📍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Место нахождения организатора аукциона, почтовый адрес: 630091, г. Новосибирск, Красный проспект, 50.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A1E1F"/>
                            <w:sz w:val="20"/>
                            <w:szCs w:val="20"/>
                          </w:rPr>
                          <w:t xml:space="preserve">Место проведения аукциона – Аукцион проводится оператором аукциона ООО «РТС - тендер» в электронной форме на федеральной электронной торговой площадке РТС-Тендер на сайте </w:t>
                        </w:r>
                        <w:hyperlink r:id="rId16" w:tgtFrame="_blank" w:history="1">
                          <w:r>
                            <w:rPr>
                              <w:rStyle w:val="a3"/>
                              <w:rFonts w:ascii="Georgia" w:eastAsia="Times New Roman" w:hAnsi="Georgia"/>
                              <w:color w:val="093547"/>
                              <w:sz w:val="20"/>
                              <w:szCs w:val="20"/>
                            </w:rPr>
                            <w:t>www.rts-tender.ru</w:t>
                          </w:r>
                        </w:hyperlink>
                        <w:r>
                          <w:rPr>
                            <w:rFonts w:ascii="Georgia" w:eastAsia="Times New Roman" w:hAnsi="Georgia"/>
                            <w:color w:val="1A1E1F"/>
                            <w:sz w:val="20"/>
                            <w:szCs w:val="20"/>
                          </w:rPr>
                          <w:t>.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A1E1F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71" name="Рисунок 71" descr="Рисунок удален отправителем. Ã¢ÂÂ¡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2" descr="Рисунок удален отправителем. Ã¢ÂÂ¡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eastAsia="Times New Roman" w:hAnsi="Georgia"/>
                            <w:color w:val="1A1E1F"/>
                            <w:sz w:val="21"/>
                            <w:szCs w:val="21"/>
                          </w:rPr>
                          <w:t>При заключении договора аренды имущества, включенного в перечень, на срок пять лет арендная плата вносится арендатором: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70" name="Рисунок 70" descr="Рисунок удален отправителем. Ã¢ÂÂ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3" descr="Рисунок удален отправителем. Ã¢ÂÂ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в первый год аренды - 40 процентов от размера арендной платы, установленного в договоре </w:t>
                        </w:r>
                        <w:proofErr w:type="gramStart"/>
                        <w:r>
                          <w:rPr>
                            <w:rFonts w:ascii="Georgia" w:hAnsi="Georgia"/>
                            <w:color w:val="1A1E1F"/>
                          </w:rPr>
                          <w:t>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</w:r>
                        <w:r>
                          <w:rPr>
                            <w:rFonts w:ascii="Georgia" w:hAnsi="Georgia"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69" name="Рисунок 69" descr="Рисунок удален отправителем. Ã¢ÂÂ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4" descr="Рисунок удален отправителем. Ã¢ÂÂ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во</w:t>
                        </w:r>
                        <w:proofErr w:type="gramEnd"/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второй год аренды - 60 процентов от размера арендной платы, установленного в договоре 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</w:r>
                        <w:r>
                          <w:rPr>
                            <w:rFonts w:ascii="Georgia" w:hAnsi="Georgia"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68" name="Рисунок 68" descr="Рисунок удален отправителем. Ã¢ÂÂ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5" descr="Рисунок удален отправителем. Ã¢ÂÂ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в третий год аренды - 80 процентов от размера арендной платы, установленного в договоре аренды;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br/>
                        </w:r>
                        <w:r>
                          <w:rPr>
                            <w:rFonts w:ascii="Georgia" w:hAnsi="Georgia"/>
                            <w:noProof/>
                            <w:color w:val="1A1E1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67" name="Рисунок 67" descr="Рисунок удален отправителем. Ã¢ÂÂ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6" descr="Рисунок удален отправителем. Ã¢ÂÂ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в четвертый год аренды и далее - 100 процентов от размера арендной платы, установленного в договоре аренды.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color w:val="1A1E1F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На аукцион выставляются следующие нежилые помещения: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1.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71,60 кв. м., 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расположенное на 1-м этаже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г. Новосибирск, Ленинский район, ул. Забалуева, 39/5.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2.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123,40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на 1-м этаже здания общежития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г. Новосибирск, Дзержинский район, ул. Королева, 14/1.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3.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267,40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на 1-м этаже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г. Новосибирск, Советский район, ул.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Красноуфимская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, 6.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4.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186,20 кв. м., 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расположенное на 1-м этаже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г. Новосибирск, Калининский район, ул. Флотская, 26.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lastRenderedPageBreak/>
                          <w:t>Лот 5.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 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175,60 кв. м., 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расположенное в подвале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г. Новосибирск, Железнодорожный район, ул. Сибирская, 33.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Лот 6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. 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237,90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в подвале жилого дома по адресу: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г. Новосибирск, Железнодорожный район, ул. Ленина, 13.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7.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37,70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в подвале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г. Новосибирск, Октябрьский район, ул. Никитина, 70.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8.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85,40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в подвале жилого дома по адресу: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 xml:space="preserve"> г. Новосибирск, Калининский район, ул. Богдана Хмельницкого, 63.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9.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155,50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в подвале жилого дома по адресу: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г. Новосибирск, Калининский район, ул. Богдана Хмельницкого, 22/1.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1A1E1F"/>
                          </w:rPr>
                          <w:t>Лот 10.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Нежилое помещение общей площадью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 xml:space="preserve"> 54,90 кв. м.,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 xml:space="preserve"> расположенное в подвале жилого дома по адресу: </w:t>
                        </w:r>
                        <w:r>
                          <w:rPr>
                            <w:rStyle w:val="a6"/>
                            <w:rFonts w:ascii="Georgia" w:hAnsi="Georgia"/>
                            <w:color w:val="1A1E1F"/>
                          </w:rPr>
                          <w:t>г. Новосибирск, Железнодорожный район, ул. Салтыкова-Щедрина, 1.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1A1E1F"/>
                          </w:rPr>
                          <w:t>Осмотр имущества обеспечивает МУП «ЦМИ». По вопросам осмотра помещения обращаться в МУП «ЦМИ» по телефонам: 223-89-09, 222-91-55, 203-57-84. </w:t>
                        </w:r>
                        <w:r>
                          <w:rPr>
                            <w:rFonts w:ascii="Georgia" w:hAnsi="Georgia"/>
                            <w:color w:val="1A1E1F"/>
                          </w:rPr>
                          <w:t>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1A1E1F"/>
                          </w:rPr>
                          <w:t>Извещение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A1E1F"/>
                          </w:rPr>
                        </w:pPr>
                        <w:hyperlink r:id="rId19" w:tgtFrame="_blank" w:history="1">
                          <w:r>
                            <w:rPr>
                              <w:rStyle w:val="a3"/>
                              <w:rFonts w:ascii="Georgia" w:hAnsi="Georgia"/>
                              <w:i/>
                              <w:iCs/>
                              <w:color w:val="093547"/>
                            </w:rPr>
                            <w:t xml:space="preserve">www.torgi.gov.ru Извещение </w:t>
                          </w:r>
                        </w:hyperlink>
                        <w:r>
                          <w:rPr>
                            <w:rFonts w:ascii="Georgia" w:hAnsi="Georgia"/>
                            <w:color w:val="1A1E1F"/>
                          </w:rPr>
                          <w:t>№ 21000008240000000066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D29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0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D29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www.torgi.gov.ru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29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0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D0DC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D0DCE0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E2629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 xml:space="preserve">Семинары и встречи в 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E2629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городе Новосибирске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E2629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48"/>
                            <w:szCs w:val="48"/>
                          </w:rPr>
                          <w:t> 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СТАНЬТЕ УЧАСТНИКОМ СОРЕВНОВАНИЯ «ЧЕЛОВЕК ИДУЩИЙ».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4"/>
                            <w:szCs w:val="24"/>
                          </w:rPr>
                          <w:t>Соревнования проходят в два этапа: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15 октября – 15 ноября (основной этап – сами соревнования).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При поддержке благотворительного фонда «Лига здоровья нации» запущена федеральная программа повышения физической активности «Человек идущий». Базовым элементом программы являются соревнования по фоновой ходьбе (все шаги человека за день).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Программа призвана мотивировать участников к повышению ежедневной физической двигательной активности и направлена на увеличение количества людей, систематически занимающихся физической культурой и спортом.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Для участия в соревнованиях формируется команда 20-50 человек, все участники бесплатно подключаются к мобильному приложению «Человек идущий», которое обеспечивает подсчет шагов каждого участника и формирует рейтинг команды.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Во время соревнований все участники будут дополнительно получать рекомендации экспертов Лиги здоровья нации по оптимизации двигательного режима и ведению здорового образа жизни.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C3A45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C3A45"/>
                            <w:sz w:val="21"/>
                            <w:szCs w:val="21"/>
                          </w:rPr>
                          <w:t>С порядком проведения Соревнований и всей дополнительной информацией можно ознакомиться на сайте.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726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5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726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5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1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D1208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Бизнес-форум «Дни ритейла в Сибири».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D1208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  <w:sz w:val="27"/>
                            <w:szCs w:val="27"/>
                          </w:rPr>
                          <w:t>26-28 октября 2022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D1208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  <w:sz w:val="27"/>
                            <w:szCs w:val="27"/>
                          </w:rPr>
                          <w:t>в МВК «Новосибирск Экспоцентр»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D120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D1208"/>
                            <w:sz w:val="21"/>
                            <w:szCs w:val="21"/>
                          </w:rPr>
                          <w:t xml:space="preserve">В деловую программу Форума войдут более 50 экспертных сессий, конференция «Центр Закупок Сетей: Сибирь», семинары для топ-менеджмента ритейла, представителей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D1208"/>
                            <w:sz w:val="21"/>
                            <w:szCs w:val="21"/>
                          </w:rPr>
                          <w:t>маркетплейсов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D1208"/>
                            <w:sz w:val="21"/>
                            <w:szCs w:val="21"/>
                          </w:rPr>
                          <w:t xml:space="preserve"> и аналитических агентств, специалистов в области интернет-маркетинга и других профессионалов отрасли.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D120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D1208"/>
                            <w:sz w:val="21"/>
                            <w:szCs w:val="21"/>
                          </w:rPr>
                          <w:t>Также будет представлена особая выставочная зона «Технологии и магазин будущего», продукция лучших местных товаропроизводителей, гастрономический фестиваль и экспозиция российских вин.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D1208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Участие: БЕСПЛАТНОЕ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2E3B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2E3B4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2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C12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ШКОЛА ТОРГОВЛИ 2022-программа для производителей.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C12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Открыта регистрация, производители НСО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C1214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21"/>
                            <w:szCs w:val="21"/>
                          </w:rPr>
                          <w:t>13-28 октября 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C1214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Школа реализуется в регионе с 2018 года, каждый год - это крутые эксперты, актуальные темы и эффективный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нетворкинг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!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</w:rPr>
                          <w:t xml:space="preserve">В программе: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</w:rPr>
                          <w:t xml:space="preserve">открытые дискуссии выездные мероприятия: Балтика, Ашан, РЦ Толмачёво (X5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</w:rPr>
                          <w:t>Retail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0000"/>
                          </w:rPr>
                          <w:t>);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</w:rPr>
                          <w:t xml:space="preserve">мастер-классы;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</w:rPr>
                          <w:t xml:space="preserve">лекции; 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</w:rPr>
                          <w:t>нетворкинг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0000"/>
                          </w:rPr>
                          <w:t>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C1214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</w:rPr>
                          <w:t>Школа торговли - это площадка для коммуникации производителей, представителей власти, общественных организаций, торговых сетей и признанных экспертов отрасли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2636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5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26363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5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3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</w:rPr>
                          <w:t>Бесплатное обучение по программе осуществления предпринимательской деятельности в сфере оказания услуг общественного питания.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  <w:sz w:val="24"/>
                            <w:szCs w:val="24"/>
                          </w:rPr>
                          <w:t>25.10.2022 - 25.11.2022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  <w:sz w:val="24"/>
                            <w:szCs w:val="24"/>
                          </w:rPr>
                          <w:t>10:00-17:00.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  <w:sz w:val="24"/>
                            <w:szCs w:val="24"/>
                          </w:rPr>
                          <w:t>место проведения: Красный проспект, 17/1, 3 этаж.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Департаментом инвестиций, потребительского рынка, инноваций и предпринимательства мэрии города Новосибирска совместно с Сибирской федерацией рестораторов и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отельеров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проводится бесплатное обучение по программе осуществления </w:t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lastRenderedPageBreak/>
                          <w:t>предпринимательской деятельности в сфере оказания услуг общественного питания в рамках реализации муниципальной программы «Развитие малого и среднего предпринимательства города Новосибирска».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Обучение проводится для действующих предпринимателей Новосибирска,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самозанятых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, а также для физических лиц, планирующих открыть свое дело.</w:t>
                        </w:r>
                        <w:r>
                          <w:rPr>
                            <w:rFonts w:ascii="Georgia" w:eastAsia="Times New Roman" w:hAnsi="Georgia"/>
                            <w:color w:val="2D536B"/>
                          </w:rPr>
                          <w:br/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Объем курса 60 академических часов.</w:t>
                        </w:r>
                        <w:r>
                          <w:rPr>
                            <w:rFonts w:ascii="Georgia" w:eastAsia="Times New Roman" w:hAnsi="Georgia"/>
                            <w:color w:val="2D536B"/>
                          </w:rPr>
                          <w:br/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Экспертами проекта выступают ведущие рестораторы и бизнес-тренеры НСО. Они осветят темы экономики ресторана, продвижения услуг, государственной и региональной поддержки бизнеса, партнерства с торговыми центрами и инвесторам.</w:t>
                        </w:r>
                      </w:p>
                      <w:p w:rsidR="00F45AC1" w:rsidRDefault="00F45AC1">
                        <w:pPr>
                          <w:pStyle w:val="3"/>
                          <w:jc w:val="center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Обязательная регистрация доступна до 19.10.2022 на сайте: </w:t>
                        </w:r>
                        <w:hyperlink r:id="rId24" w:history="1">
                          <w:r>
                            <w:rPr>
                              <w:rStyle w:val="a3"/>
                              <w:rFonts w:ascii="Georgia" w:eastAsia="Times New Roman" w:hAnsi="Georgia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gastroincubator.ru</w:t>
                          </w:r>
                        </w:hyperlink>
                      </w:p>
                      <w:p w:rsidR="00F45AC1" w:rsidRDefault="00F45AC1">
                        <w:pPr>
                          <w:pStyle w:val="3"/>
                          <w:jc w:val="center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18"/>
                            <w:szCs w:val="18"/>
                          </w:rPr>
                          <w:t>Подробную можно получить по тел. 8(383) 292-98-82.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A3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A323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4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5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  <w:hideMark/>
          </w:tcPr>
          <w:tbl>
            <w:tblPr>
              <w:tblW w:w="5000" w:type="pct"/>
              <w:shd w:val="clear" w:color="auto" w:fill="CADE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CADEE6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jc w:val="center"/>
                          <w:rPr>
                            <w:rFonts w:ascii="Georgia" w:eastAsia="Times New Roman" w:hAnsi="Georgia"/>
                            <w:color w:val="0A2F3D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54"/>
                            <w:szCs w:val="54"/>
                          </w:rPr>
                          <w:t>Обучающие мероприятия Городского центра развития предпринимательства: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5AC1" w:rsidRDefault="00F45AC1" w:rsidP="00F45AC1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AC1" w:rsidTr="00F45AC1">
        <w:tc>
          <w:tcPr>
            <w:tcW w:w="97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6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Онлайн-семинар: «Бизнес как живой организм. Циклы жизни и моделирование стратегий развития»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08.11.2022 /вторник/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Кривая жизненных циклов компании по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Адизесу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и ключевые точки каждого из циклов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На что стоит обратить внимание, находясь в каждом из циклов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Какую роль играет собственник, команда и управление процессами в каждом из циклов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Что мотивирует сотрудников, а что - нет. И почему вопрос: "чего вы хотите?" может решить большую часть проблем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Стратегия тишины во внутрикорпоративных коммуникациях (плюсы и минусы)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lastRenderedPageBreak/>
                          <w:t xml:space="preserve">Спикер: Наталья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Дыбина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— руководитель коммуникационного агентства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MassEffect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Agency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, эксперт по формированию репутации и выстраиванию эффективных коммуникационных стратегий.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D303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D3038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7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Онлайн-семинар: «Основы делегирования. Как делегировать и получать от этого удовольствие»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14.11.2022 /понедельник/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162E38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162E38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62E38"/>
                          </w:rPr>
                        </w:pPr>
                        <w:r>
                          <w:rPr>
                            <w:rFonts w:ascii="Georgia" w:hAnsi="Georgia"/>
                            <w:color w:val="162E38"/>
                          </w:rPr>
                          <w:t>Что происходит, когда предприниматель не умеет делегировать?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 xml:space="preserve">Убеждения предпринимателя, кто живет в парадигме </w:t>
                        </w:r>
                        <w:proofErr w:type="gramStart"/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«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Кто, если не я?»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Как понять, когда уже нужно начать делегировать?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Упражнение: «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Саморефлексия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. Что можно делегировать уже сегодня?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Распространенные ошибки делегирования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162E38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162E38"/>
                            <w:sz w:val="21"/>
                            <w:szCs w:val="21"/>
                          </w:rPr>
                          <w:t>Критерии поручений сотрудникам. Технология постановки «умных» задач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162E38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Спикер: Анна Сосновая — предприниматель, основатель лицензированной бизнес-школы административного персонала и помощников/ассистентов первых лиц, эксперт в области менеджмента знаний (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learning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and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knowledge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management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) и обучения и развития персонала, эксперт в области обучения сервисного персонала первой линии, клиентского сервиса, преподаватель в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РАНХиГС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, Высшей Школе Экономике, Университете Синергия, РШУ и др. Автор книги «Ассистент руководителя.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Лайфхаки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профессии»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326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326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8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lastRenderedPageBreak/>
                          <w:t>Онлайн-семинар: «Риски в предпринимательской деятельности, в частности, банкротство и привлечение к субсидиарной ответственности»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15.11.2022 /вторник/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Общие характеристики банкротства: когда можно обратиться с заявлением о банкротстве, где рассматривается дело о банкротстве, сроки рассмотрения, последствия и др.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Гражданско-правовая ответственность в деле о банкротстве: основные положения, субсидиарная ответственность, взыскание убытков, субъекты привлечения, минимизация рисков, возможность последующего списания долгов и др.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Уголовная ответственность за доведение до банкротства: основания и риски привлечения.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Спикер: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Кальван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Антон Васильевич, адвокат, специализация: банкротство (субсидиарная ответственность, оспаривание сделок), корпоративные споры. Успешно завершил спор о привлечении клиента к субсидиарной ответственности в размере более 150 млрд руб. (кейс был включен в рейтинг Коммерсантъ за 2021 год «Споры года»).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313F4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313F4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39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40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 xml:space="preserve">Онлайн-семинар: «Системный подход к управлению и сочетание инструментов менеджмента, как они работают и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>взаимодополняют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</w:rPr>
                          <w:t xml:space="preserve"> друг друга»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16.11.2022 /среда/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Сложно ли управлять бизнесом?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Fonts w:ascii="Georgia" w:hAnsi="Georgia"/>
                            <w:color w:val="081A21"/>
                          </w:rPr>
                          <w:t xml:space="preserve">Как показывает статистика и опыт, даже людям с опытом работы в крупных компаниях трудно решить эту задачу: 90% всех компаний закрываются в </w:t>
                        </w:r>
                        <w:r>
                          <w:rPr>
                            <w:rFonts w:ascii="Georgia" w:hAnsi="Georgia"/>
                            <w:color w:val="081A21"/>
                          </w:rPr>
                          <w:lastRenderedPageBreak/>
                          <w:t>первые 3 года, а 95% компаний в первые 5 лет. Но как избежать этих проблем, выжить в текущих условиях неопределенности?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Fonts w:ascii="Georgia" w:hAnsi="Georgia"/>
                            <w:color w:val="081A21"/>
                          </w:rPr>
                          <w:t xml:space="preserve">На нашем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81A21"/>
                          </w:rPr>
                          <w:t>вебинаре</w:t>
                        </w:r>
                        <w:proofErr w:type="spellEnd"/>
                        <w:r>
                          <w:rPr>
                            <w:rFonts w:ascii="Georgia" w:hAnsi="Georgia"/>
                            <w:color w:val="081A21"/>
                          </w:rPr>
                          <w:t xml:space="preserve"> мы поделимся наших подходом к организации бизнеса, к которому пришли после анализа собственного опыта работы и со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81A21"/>
                          </w:rPr>
                          <w:t>стартапами</w:t>
                        </w:r>
                        <w:proofErr w:type="spellEnd"/>
                        <w:r>
                          <w:rPr>
                            <w:rFonts w:ascii="Georgia" w:hAnsi="Georgia"/>
                            <w:color w:val="081A21"/>
                          </w:rPr>
                          <w:t xml:space="preserve">, и с гигантами российской экономики, изучения опыта мировых компаний и трудов ведущих экспертов в области управления. Кроме того, после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81A21"/>
                          </w:rPr>
                          <w:t>вебинара</w:t>
                        </w:r>
                        <w:proofErr w:type="spellEnd"/>
                        <w:r>
                          <w:rPr>
                            <w:rFonts w:ascii="Georgia" w:hAnsi="Georgia"/>
                            <w:color w:val="081A21"/>
                          </w:rPr>
                          <w:t xml:space="preserve"> у Вас будет доступ к статьям-памяткам о каждом из инструменте нашего подхода.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Спикер: 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Джимшер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Челидзе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— более 8 лет в управлении изменениями, проектами и продуктами, в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т.ч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.: ИТ, антикризисное управление, повышение производительности в проектах Мини-Т.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30454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30454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41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03366"/>
                            <w:sz w:val="36"/>
                            <w:szCs w:val="36"/>
                          </w:rPr>
                          <w:t>Онлайн-семинар: «Как выстроить систему продаж в онлайн и начать зарабатывать»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inherit" w:eastAsia="Times New Roman" w:hAnsi="inherit"/>
                            <w:color w:val="333333"/>
                            <w:sz w:val="21"/>
                            <w:szCs w:val="21"/>
                          </w:rPr>
                          <w:t>17.11.2022 /четверг/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Знать секреты онлайн продаж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Внедрить в бизнес Стандарты продаж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Строго соблюдать этапы воронки продаж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Думающий отдел продаж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Работа с Базой клиентов ежедневно</w:t>
                        </w:r>
                      </w:p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proofErr w:type="gram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Формировать  у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клиентов лояльность к вашему продукту - работать с клиентом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вдолгую</w:t>
                        </w:r>
                        <w:proofErr w:type="spellEnd"/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 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Спикер: Ирина Белоусова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—  эксперт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 xml:space="preserve"> по онлайн-продажам в товарном бизнесе, предприниматель, практикующий эксперт, работала с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селебрити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: Екатериной Одинцовой, Надеждой Бабкиной, более 1 миллиона рублей вложила в свое обучение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2E464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2E464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42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3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</w:rPr>
                          <w:t>Онлайн-семинар: «СОЦИАЛЬНЫЙ БИЗНЕС: РЕЙТИНГОВАЯ БИЗНЕС-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</w:rPr>
                          <w:t>МОДЕЛЬ,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</w:rPr>
                          <w:t>ИСПОЛЬЗОВАТЬ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2D536B"/>
                          </w:rPr>
                          <w:t xml:space="preserve"> КОТОРУЮ СПОСОБНЫ ЕДИНИЦЫ»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22.11.2022 /вторник/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Как устроен социальный бизнес.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За счет чего развивается социальный бизнес.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2D536B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333300"/>
                            <w:sz w:val="21"/>
                            <w:szCs w:val="21"/>
                          </w:rPr>
                          <w:t>Главное о социальном бизнесе.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2D536B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 xml:space="preserve">Спикер: ЭЛИЗАБЕТ ЭДУАРДОВНА РАДЮК, бизнес-консультант, </w:t>
                        </w:r>
                        <w:proofErr w:type="spellStart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коуч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, спикер-эксперт.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 xml:space="preserve">Действующий Генеральный директор социально-ответственного бизнеса, (владелец) </w:t>
                        </w:r>
                        <w:proofErr w:type="spellStart"/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ГК«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Прогулка</w:t>
                        </w:r>
                        <w:proofErr w:type="spellEnd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 xml:space="preserve"> в темноте», сеть частных музеев.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Внешний лектор РГУТИС (ряд курсов повышения квалификации и профессиональной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переподготовки).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Сосредоточена на продвижении уникальных знаний о лидерстве, управлении, методов бирюзовых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 xml:space="preserve">компаний, спиральной динамики и новых решений для развития бизнеса. Основная </w:t>
                        </w:r>
                        <w:proofErr w:type="gramStart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экспертиза: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2D536B"/>
                          </w:rPr>
                          <w:br/>
                        </w:r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>стратегическое</w:t>
                        </w:r>
                        <w:proofErr w:type="gramEnd"/>
                        <w:r>
                          <w:rPr>
                            <w:rStyle w:val="a6"/>
                            <w:rFonts w:ascii="Georgia" w:hAnsi="Georgia"/>
                            <w:color w:val="2D536B"/>
                          </w:rPr>
                          <w:t xml:space="preserve"> планирование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30454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30454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43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93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  <w:sz w:val="36"/>
                            <w:szCs w:val="36"/>
                          </w:rPr>
                          <w:t>Онлайн-семинар: «Судебная</w:t>
                        </w:r>
                        <w:r>
                          <w:rPr>
                            <w:rFonts w:ascii="Georgia" w:hAnsi="Georgia"/>
                            <w:color w:val="003366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Georgia" w:hAnsi="Georgia"/>
                            <w:color w:val="003366"/>
                            <w:sz w:val="36"/>
                            <w:szCs w:val="36"/>
                          </w:rPr>
                          <w:t>экспертиза и Оценка»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23.11.2022 /среда/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15.00-17.00</w:t>
                        </w: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Место проведения: на платформе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Google</w:t>
                        </w:r>
                        <w:proofErr w:type="spellEnd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6"/>
                            <w:rFonts w:ascii="Georgia" w:eastAsia="Times New Roman" w:hAnsi="Georgia"/>
                            <w:color w:val="333333"/>
                            <w:sz w:val="21"/>
                            <w:szCs w:val="21"/>
                          </w:rPr>
                          <w:t>meet</w:t>
                        </w:r>
                        <w:proofErr w:type="spellEnd"/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Программа семинара: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81A21"/>
                          </w:rPr>
                          <w:t>1. Оценка.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Современные тенденции в оценочной деятельности;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proofErr w:type="gram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Вызовы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предъявляемые текущими условиями к оценке активов;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lastRenderedPageBreak/>
                          <w:t>Особенности взаимодействия бизнеса с оценочными организациями;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81A21"/>
                          </w:rPr>
                          <w:t>2. Судебная стоимостная экспертиза.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Особенности оценочной деятельности </w:t>
                        </w:r>
                        <w:proofErr w:type="gram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при  проведении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экспертизы;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Доказательность и </w:t>
                        </w:r>
                        <w:proofErr w:type="spellStart"/>
                        <w:proofErr w:type="gram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оспориваемость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  заключения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эксперта-оценщика в суде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proofErr w:type="gramStart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Требования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 xml:space="preserve"> предъявляемые к судебным экспертам;</w:t>
                        </w:r>
                      </w:p>
                      <w:p w:rsidR="00F45AC1" w:rsidRDefault="00F45AC1">
                        <w:pPr>
                          <w:pStyle w:val="4"/>
                          <w:rPr>
                            <w:rFonts w:ascii="Georgia" w:eastAsia="Times New Roman" w:hAnsi="Georgia"/>
                            <w:color w:val="081A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81A21"/>
                            <w:sz w:val="21"/>
                            <w:szCs w:val="21"/>
                          </w:rPr>
                          <w:t>Отличие отчета об оценке и судебной экспертизы.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81A21"/>
                          </w:rPr>
                          <w:t>3. Вопросы и Ответы.</w:t>
                        </w:r>
                      </w:p>
                      <w:p w:rsidR="00F45AC1" w:rsidRDefault="00F45AC1">
                        <w:pPr>
                          <w:pStyle w:val="a5"/>
                          <w:rPr>
                            <w:rFonts w:ascii="Georgia" w:hAnsi="Georgia"/>
                            <w:color w:val="081A21"/>
                          </w:rPr>
                        </w:pPr>
                        <w:r>
                          <w:rPr>
                            <w:rStyle w:val="a6"/>
                            <w:rFonts w:ascii="Georgia" w:hAnsi="Georgia"/>
                            <w:color w:val="003366"/>
                          </w:rPr>
                          <w:t>Спикер: Нечаева Людмила Юрьевна, Начальник департамента оценки и бизнес планирования АО ФПГ "АРКОМ". С 2015 года является членом СРОО «Экспертный совет». Высококвалифицированный специалист в области "Оценки стоимости активов" с опытом работы более 18 лет.</w:t>
                        </w: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45AC1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1C29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8"/>
                        </w:tblGrid>
                        <w:tr w:rsidR="00F45AC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1C29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8"/>
                              </w:tblGrid>
                              <w:tr w:rsidR="00F45A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5AC1" w:rsidRDefault="00F45AC1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5AC1" w:rsidRDefault="00F45A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AC1" w:rsidRDefault="00F45A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AC1" w:rsidRDefault="00F45A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AC1" w:rsidRDefault="00F45AC1">
            <w:pPr>
              <w:rPr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5AC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5AC1" w:rsidRDefault="00F45AC1">
                  <w:pPr>
                    <w:jc w:val="center"/>
                    <w:rPr>
                      <w:rFonts w:eastAsia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  <w:szCs w:val="21"/>
                    </w:rPr>
                    <w:pict>
                      <v:rect id="_x0000_i1044" style="width:467.75pt;height:1.5pt" o:hralign="center" o:hrstd="t" o:hr="t" fillcolor="#a0a0a0" stroked="f"/>
                    </w:pict>
                  </w:r>
                </w:p>
              </w:tc>
            </w:tr>
          </w:tbl>
          <w:p w:rsidR="00F45AC1" w:rsidRDefault="00F45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F14" w:rsidRDefault="00454F14"/>
    <w:sectPr w:rsidR="0045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1"/>
    <w:rsid w:val="00454F14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7C26-A6AE-42A4-9B1E-6CF99B11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C1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45AC1"/>
    <w:pPr>
      <w:spacing w:after="150"/>
      <w:outlineLvl w:val="2"/>
    </w:pPr>
    <w:rPr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F45AC1"/>
    <w:pPr>
      <w:spacing w:after="150"/>
      <w:outlineLvl w:val="3"/>
    </w:pPr>
    <w:rPr>
      <w:sz w:val="30"/>
      <w:szCs w:val="30"/>
    </w:rPr>
  </w:style>
  <w:style w:type="paragraph" w:styleId="5">
    <w:name w:val="heading 5"/>
    <w:basedOn w:val="a"/>
    <w:link w:val="50"/>
    <w:uiPriority w:val="9"/>
    <w:semiHidden/>
    <w:unhideWhenUsed/>
    <w:qFormat/>
    <w:rsid w:val="00F45AC1"/>
    <w:pPr>
      <w:spacing w:after="150"/>
      <w:outlineLvl w:val="4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5AC1"/>
    <w:rPr>
      <w:rFonts w:ascii="Calibri" w:hAnsi="Calibri" w:cs="Calibri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AC1"/>
    <w:rPr>
      <w:rFonts w:ascii="Calibri" w:hAnsi="Calibri" w:cs="Calibri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5AC1"/>
    <w:rPr>
      <w:rFonts w:ascii="Calibri" w:hAnsi="Calibri" w:cs="Calibri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45AC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45A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5A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mailstyle20">
    <w:name w:val="emailstyle20"/>
    <w:basedOn w:val="a0"/>
    <w:semiHidden/>
    <w:rsid w:val="00F45AC1"/>
    <w:rPr>
      <w:rFonts w:ascii="Calibri" w:hAnsi="Calibri" w:cs="Calibri" w:hint="default"/>
      <w:color w:val="auto"/>
    </w:rPr>
  </w:style>
  <w:style w:type="character" w:styleId="a6">
    <w:name w:val="Strong"/>
    <w:basedOn w:val="a0"/>
    <w:uiPriority w:val="22"/>
    <w:qFormat/>
    <w:rsid w:val="00F4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kln.com/sl/Mjc0MjE4Njc=/e4949a82cc72dcf0e44346fb6d5fbb692e983s4" TargetMode="External"/><Relationship Id="rId13" Type="http://schemas.openxmlformats.org/officeDocument/2006/relationships/image" Target="cid:image002.jpg@01D8E91A.45AD5AC0" TargetMode="External"/><Relationship Id="rId18" Type="http://schemas.openxmlformats.org/officeDocument/2006/relationships/image" Target="cid:image003.jpg@01D8E91A.45AD5AC0" TargetMode="External"/><Relationship Id="rId26" Type="http://schemas.openxmlformats.org/officeDocument/2006/relationships/hyperlink" Target="https://trckln.com/sl/Mjc0MjE4Nzc=/e4949a82cc72dcf0e44346fb6d5fbb692e983s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ckln.com/sl/Mjc0MjE4NzI=/e4949a82cc72dcf0e44346fb6d5fbb692e983s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ckln.com/sl/Mjc0MjE4NjY=/e4949a82cc72dcf0e44346fb6d5fbb692e983s4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trckln.com/sl/Mjc0MjE4NzY=/e4949a82cc72dcf0e44346fb6d5fbb692e983s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ckln.com/sl/Mjc0MjE4Njk=/e4949a82cc72dcf0e44346fb6d5fbb692e983s4" TargetMode="External"/><Relationship Id="rId20" Type="http://schemas.openxmlformats.org/officeDocument/2006/relationships/hyperlink" Target="https://trckln.com/sl/Mjc0MjE4NzE=/e4949a82cc72dcf0e44346fb6d5fbb692e983s4" TargetMode="External"/><Relationship Id="rId29" Type="http://schemas.openxmlformats.org/officeDocument/2006/relationships/hyperlink" Target="https://trckln.com/sl/Mjc0MjE4ODA=/e4949a82cc72dcf0e44346fb6d5fbb692e983s4" TargetMode="External"/><Relationship Id="rId1" Type="http://schemas.openxmlformats.org/officeDocument/2006/relationships/styles" Target="styles.xml"/><Relationship Id="rId6" Type="http://schemas.openxmlformats.org/officeDocument/2006/relationships/hyperlink" Target="https://trckln.com/sl/Mjc0MjE4NjU=/e4949a82cc72dcf0e44346fb6d5fbb692e983s4" TargetMode="External"/><Relationship Id="rId11" Type="http://schemas.openxmlformats.org/officeDocument/2006/relationships/image" Target="cid:image006.jpg@01D8E91A.45AD5AC0" TargetMode="External"/><Relationship Id="rId24" Type="http://schemas.openxmlformats.org/officeDocument/2006/relationships/hyperlink" Target="https://trckln.com/sl/Mjc0MjE4NzU=/e4949a82cc72dcf0e44346fb6d5fbb692e983s4" TargetMode="External"/><Relationship Id="rId32" Type="http://schemas.openxmlformats.org/officeDocument/2006/relationships/hyperlink" Target="https://trckln.com/sl/Mjc0MjE4ODM=/e4949a82cc72dcf0e44346fb6d5fbb692e983s4" TargetMode="External"/><Relationship Id="rId5" Type="http://schemas.openxmlformats.org/officeDocument/2006/relationships/hyperlink" Target="https://trckln.com/sl/Mjc0MjE4NjQ=/e4949a82cc72dcf0e44346fb6d5fbb692e983s4" TargetMode="External"/><Relationship Id="rId15" Type="http://schemas.openxmlformats.org/officeDocument/2006/relationships/image" Target="cid:image004.jpg@01D8E91A.45AD5AC0" TargetMode="External"/><Relationship Id="rId23" Type="http://schemas.openxmlformats.org/officeDocument/2006/relationships/hyperlink" Target="https://trckln.com/sl/Mjc0MjE4NzQ=/e4949a82cc72dcf0e44346fb6d5fbb692e983s4" TargetMode="External"/><Relationship Id="rId28" Type="http://schemas.openxmlformats.org/officeDocument/2006/relationships/hyperlink" Target="https://trckln.com/sl/Mjc0MjE4Nzk=/e4949a82cc72dcf0e44346fb6d5fbb692e983s4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trckln.com/sl/Mjc0MjE4NzA=/e4949a82cc72dcf0e44346fb6d5fbb692e983s4" TargetMode="External"/><Relationship Id="rId31" Type="http://schemas.openxmlformats.org/officeDocument/2006/relationships/hyperlink" Target="https://trckln.com/sl/Mjc0MjE4ODI=/e4949a82cc72dcf0e44346fb6d5fbb692e983s4" TargetMode="External"/><Relationship Id="rId4" Type="http://schemas.openxmlformats.org/officeDocument/2006/relationships/hyperlink" Target="https://trckln.com/sl/Mjc0MjE4NjM=/e4949a82cc72dcf0e44346fb6d5fbb692e983s4" TargetMode="External"/><Relationship Id="rId9" Type="http://schemas.openxmlformats.org/officeDocument/2006/relationships/hyperlink" Target="https://trckln.com/sl/Mjc0MjE4Njg=/e4949a82cc72dcf0e44346fb6d5fbb692e983s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trckln.com/sl/Mjc0MjE4NzM=/e4949a82cc72dcf0e44346fb6d5fbb692e983s4" TargetMode="External"/><Relationship Id="rId27" Type="http://schemas.openxmlformats.org/officeDocument/2006/relationships/hyperlink" Target="https://trckln.com/sl/Mjc0MjE4Nzg=/e4949a82cc72dcf0e44346fb6d5fbb692e983s4" TargetMode="External"/><Relationship Id="rId30" Type="http://schemas.openxmlformats.org/officeDocument/2006/relationships/hyperlink" Target="https://trckln.com/sl/Mjc0MjE4ODE=/e4949a82cc72dcf0e44346fb6d5fbb692e983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4128</Words>
  <Characters>23536</Characters>
  <Application>Microsoft Office Word</Application>
  <DocSecurity>0</DocSecurity>
  <Lines>196</Lines>
  <Paragraphs>55</Paragraphs>
  <ScaleCrop>false</ScaleCrop>
  <Company/>
  <LinksUpToDate>false</LinksUpToDate>
  <CharactersWithSpaces>27609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Алексей Евгеньевич</dc:creator>
  <cp:keywords/>
  <dc:description/>
  <cp:lastModifiedBy>Злобин Алексей Евгеньевич</cp:lastModifiedBy>
  <cp:revision>1</cp:revision>
  <dcterms:created xsi:type="dcterms:W3CDTF">2022-10-28T09:31:00Z</dcterms:created>
  <dcterms:modified xsi:type="dcterms:W3CDTF">2022-10-28T09:35:00Z</dcterms:modified>
</cp:coreProperties>
</file>